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2B75FB40" w:rsidR="00F92268" w:rsidRPr="0028193A" w:rsidRDefault="00A76149" w:rsidP="00850792">
      <w:pPr>
        <w:pStyle w:val="BodyText"/>
        <w:rPr>
          <w:sz w:val="6"/>
          <w:szCs w:val="6"/>
        </w:rPr>
      </w:pPr>
      <w:r w:rsidRPr="0028193A">
        <w:rPr>
          <w:sz w:val="6"/>
          <w:szCs w:val="6"/>
        </w:rPr>
        <w:t>x</w:t>
      </w:r>
      <w:r w:rsidR="00F92268" w:rsidRPr="0028193A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28193A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28193A" w:rsidRDefault="00F92268" w:rsidP="00F246C7">
            <w:pPr>
              <w:pStyle w:val="RefTableData"/>
            </w:pPr>
            <w:r w:rsidRPr="0028193A">
              <w:t>Reference number(s)</w:t>
            </w:r>
          </w:p>
        </w:tc>
      </w:tr>
      <w:tr w:rsidR="00F92268" w:rsidRPr="0028193A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57C225B" w:rsidR="00F92268" w:rsidRPr="0028193A" w:rsidRDefault="00C56BFF" w:rsidP="00F246C7">
            <w:pPr>
              <w:pStyle w:val="RefTableHeader"/>
            </w:pPr>
            <w:r w:rsidRPr="0028193A">
              <w:t>1661</w:t>
            </w:r>
            <w:r w:rsidR="00D4768A" w:rsidRPr="0028193A">
              <w:t>-A</w:t>
            </w:r>
          </w:p>
        </w:tc>
      </w:tr>
    </w:tbl>
    <w:p w14:paraId="74FBA5B4" w14:textId="77777777" w:rsidR="00051356" w:rsidRPr="0028193A" w:rsidRDefault="00051356" w:rsidP="00A672B3">
      <w:pPr>
        <w:pStyle w:val="BodyText"/>
        <w:rPr>
          <w:b/>
          <w:bCs/>
          <w:sz w:val="16"/>
          <w:szCs w:val="16"/>
        </w:rPr>
        <w:sectPr w:rsidR="00051356" w:rsidRPr="0028193A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B9B64BF" w:rsidR="004B15BB" w:rsidRPr="0028193A" w:rsidRDefault="00636299" w:rsidP="007E5C16">
      <w:pPr>
        <w:pStyle w:val="Heading1"/>
      </w:pPr>
      <w:r>
        <w:t>Specialty Guideline</w:t>
      </w:r>
      <w:r w:rsidR="00D61736" w:rsidRPr="0028193A">
        <w:t xml:space="preserve"> Management</w:t>
      </w:r>
      <w:r w:rsidR="0045790D" w:rsidRPr="0028193A">
        <w:br/>
      </w:r>
      <w:proofErr w:type="spellStart"/>
      <w:r w:rsidR="00A76149" w:rsidRPr="0028193A">
        <w:t>levoleucovorin-Fusilev-Khapzory</w:t>
      </w:r>
      <w:proofErr w:type="spellEnd"/>
    </w:p>
    <w:p w14:paraId="78861C92" w14:textId="5B40B00E" w:rsidR="00203468" w:rsidRPr="0028193A" w:rsidRDefault="00C64534" w:rsidP="008E0F0D">
      <w:pPr>
        <w:pStyle w:val="Heading2"/>
      </w:pPr>
      <w:r w:rsidRPr="0028193A">
        <w:t xml:space="preserve">Products Referenced by this </w:t>
      </w:r>
      <w:r w:rsidR="00501602" w:rsidRPr="0028193A">
        <w:t>Document</w:t>
      </w:r>
    </w:p>
    <w:p w14:paraId="5455152B" w14:textId="3B19DA31" w:rsidR="008E0F0D" w:rsidRPr="0028193A" w:rsidRDefault="00D82D85" w:rsidP="008B73E8">
      <w:pPr>
        <w:pStyle w:val="BodyText"/>
      </w:pPr>
      <w:r w:rsidRPr="0028193A">
        <w:t xml:space="preserve">Drugs that are listed in the </w:t>
      </w:r>
      <w:r w:rsidR="000315F1" w:rsidRPr="0028193A">
        <w:t>following table</w:t>
      </w:r>
      <w:r w:rsidRPr="0028193A">
        <w:t xml:space="preserve"> include both brand and generic and all dosage forms and strengths unless otherwise stated. </w:t>
      </w:r>
      <w:r w:rsidR="00CB29B2" w:rsidRPr="0028193A">
        <w:t>Over</w:t>
      </w:r>
      <w:r w:rsidR="002764C7">
        <w:t>-</w:t>
      </w:r>
      <w:r w:rsidR="00CB29B2" w:rsidRPr="0028193A">
        <w:t>the</w:t>
      </w:r>
      <w:r w:rsidR="002764C7">
        <w:t>-</w:t>
      </w:r>
      <w:r w:rsidR="00CB29B2" w:rsidRPr="0028193A">
        <w:t>counter (OTC)</w:t>
      </w:r>
      <w:r w:rsidRPr="0028193A">
        <w:t xml:space="preserve"> products are not included unless otherwise stated.</w:t>
      </w:r>
    </w:p>
    <w:tbl>
      <w:tblPr>
        <w:tblStyle w:val="TableGrid"/>
        <w:tblW w:w="1085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3374"/>
        <w:gridCol w:w="3694"/>
        <w:gridCol w:w="3790"/>
      </w:tblGrid>
      <w:tr w:rsidR="00FA6C44" w:rsidRPr="0028193A" w14:paraId="457CEE36" w14:textId="77777777" w:rsidTr="00D61736">
        <w:trPr>
          <w:cantSplit/>
          <w:trHeight w:val="288"/>
          <w:tblHeader/>
        </w:trPr>
        <w:tc>
          <w:tcPr>
            <w:tcW w:w="3374" w:type="dxa"/>
            <w:vAlign w:val="center"/>
          </w:tcPr>
          <w:p w14:paraId="74FADDC6" w14:textId="77777777" w:rsidR="00FA6C44" w:rsidRPr="0028193A" w:rsidRDefault="00FA6C44">
            <w:pPr>
              <w:pStyle w:val="TableHeader"/>
            </w:pPr>
            <w:r w:rsidRPr="0028193A">
              <w:t>Brand Name</w:t>
            </w:r>
          </w:p>
        </w:tc>
        <w:tc>
          <w:tcPr>
            <w:tcW w:w="3694" w:type="dxa"/>
          </w:tcPr>
          <w:p w14:paraId="571AE219" w14:textId="77777777" w:rsidR="00FA6C44" w:rsidRPr="0028193A" w:rsidRDefault="00FA6C44">
            <w:pPr>
              <w:pStyle w:val="TableHeader"/>
            </w:pPr>
            <w:r w:rsidRPr="0028193A">
              <w:t>Generic Name</w:t>
            </w:r>
          </w:p>
        </w:tc>
        <w:tc>
          <w:tcPr>
            <w:tcW w:w="3790" w:type="dxa"/>
            <w:vAlign w:val="center"/>
          </w:tcPr>
          <w:p w14:paraId="3D60CBF3" w14:textId="77777777" w:rsidR="00FA6C44" w:rsidRPr="0028193A" w:rsidRDefault="00FA6C44">
            <w:pPr>
              <w:pStyle w:val="TableHeader"/>
            </w:pPr>
            <w:r w:rsidRPr="0028193A">
              <w:t>Dosage Form</w:t>
            </w:r>
          </w:p>
        </w:tc>
      </w:tr>
      <w:tr w:rsidR="00FA6C44" w:rsidRPr="0028193A" w14:paraId="311A3451" w14:textId="77777777" w:rsidTr="00D61736">
        <w:trPr>
          <w:cantSplit/>
        </w:trPr>
        <w:tc>
          <w:tcPr>
            <w:tcW w:w="3374" w:type="dxa"/>
          </w:tcPr>
          <w:p w14:paraId="64CB6BA6" w14:textId="576850E0" w:rsidR="00FA6C44" w:rsidRPr="0028193A" w:rsidRDefault="00A76149">
            <w:pPr>
              <w:pStyle w:val="TableDataUnpadded"/>
            </w:pPr>
            <w:r w:rsidRPr="0028193A">
              <w:t>Fusilev</w:t>
            </w:r>
          </w:p>
        </w:tc>
        <w:tc>
          <w:tcPr>
            <w:tcW w:w="3694" w:type="dxa"/>
          </w:tcPr>
          <w:p w14:paraId="6AEDBDEE" w14:textId="2F62273A" w:rsidR="00FA6C44" w:rsidRPr="0028193A" w:rsidRDefault="00D61736">
            <w:pPr>
              <w:pStyle w:val="TableDataUnpadded"/>
            </w:pPr>
            <w:r w:rsidRPr="0028193A">
              <w:t>levoleucovorin</w:t>
            </w:r>
          </w:p>
        </w:tc>
        <w:tc>
          <w:tcPr>
            <w:tcW w:w="3790" w:type="dxa"/>
          </w:tcPr>
          <w:p w14:paraId="3D9C529D" w14:textId="32398957" w:rsidR="00FA6C44" w:rsidRPr="0028193A" w:rsidRDefault="00D61736">
            <w:pPr>
              <w:pStyle w:val="TableDataUnpadded"/>
            </w:pPr>
            <w:r w:rsidRPr="0028193A">
              <w:t>powder/solution</w:t>
            </w:r>
          </w:p>
        </w:tc>
      </w:tr>
      <w:tr w:rsidR="00FA6C44" w:rsidRPr="0028193A" w14:paraId="4D1B7011" w14:textId="77777777" w:rsidTr="00D61736">
        <w:trPr>
          <w:cantSplit/>
        </w:trPr>
        <w:tc>
          <w:tcPr>
            <w:tcW w:w="3374" w:type="dxa"/>
          </w:tcPr>
          <w:p w14:paraId="5555D4C0" w14:textId="6BF99947" w:rsidR="00FA6C44" w:rsidRPr="0028193A" w:rsidRDefault="00D61736">
            <w:pPr>
              <w:pStyle w:val="TableDataUnpadded"/>
            </w:pPr>
            <w:proofErr w:type="spellStart"/>
            <w:r w:rsidRPr="0028193A">
              <w:t>Khapzory</w:t>
            </w:r>
            <w:proofErr w:type="spellEnd"/>
          </w:p>
        </w:tc>
        <w:tc>
          <w:tcPr>
            <w:tcW w:w="3694" w:type="dxa"/>
          </w:tcPr>
          <w:p w14:paraId="58CFB4F9" w14:textId="071347D4" w:rsidR="00FA6C44" w:rsidRPr="0028193A" w:rsidRDefault="00D61736">
            <w:pPr>
              <w:pStyle w:val="TableDataUnpadded"/>
            </w:pPr>
            <w:r w:rsidRPr="0028193A">
              <w:t>levoleucovorin</w:t>
            </w:r>
          </w:p>
        </w:tc>
        <w:tc>
          <w:tcPr>
            <w:tcW w:w="3790" w:type="dxa"/>
          </w:tcPr>
          <w:p w14:paraId="335E8B86" w14:textId="6742814B" w:rsidR="00FA6C44" w:rsidRPr="0028193A" w:rsidRDefault="00D61736">
            <w:pPr>
              <w:pStyle w:val="TableDataUnpadded"/>
            </w:pPr>
            <w:r w:rsidRPr="0028193A">
              <w:t>powder</w:t>
            </w:r>
          </w:p>
        </w:tc>
      </w:tr>
    </w:tbl>
    <w:p w14:paraId="14CE6108" w14:textId="54D69583" w:rsidR="00FC1AAD" w:rsidRPr="0028193A" w:rsidRDefault="00ED052F" w:rsidP="00AA2A94">
      <w:pPr>
        <w:pStyle w:val="Heading2"/>
        <w:tabs>
          <w:tab w:val="left" w:pos="9540"/>
        </w:tabs>
      </w:pPr>
      <w:r w:rsidRPr="0028193A">
        <w:t>Indications</w:t>
      </w:r>
    </w:p>
    <w:p w14:paraId="6F0CB05B" w14:textId="493BBC47" w:rsidR="007C6AD5" w:rsidRPr="0028193A" w:rsidRDefault="00C73C0D" w:rsidP="001D7656">
      <w:pPr>
        <w:pStyle w:val="BodyText"/>
        <w:spacing w:after="0"/>
      </w:pPr>
      <w:r w:rsidRPr="0028193A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8759DA5" w:rsidR="00ED052F" w:rsidRPr="0028193A" w:rsidRDefault="00ED052F" w:rsidP="007C6AD5">
      <w:pPr>
        <w:pStyle w:val="Heading3"/>
      </w:pPr>
      <w:r w:rsidRPr="0028193A">
        <w:t>FDA-approved Indications</w:t>
      </w:r>
    </w:p>
    <w:p w14:paraId="215505D1" w14:textId="77777777" w:rsidR="006D51DB" w:rsidRPr="0028193A" w:rsidRDefault="00A76149" w:rsidP="00A76149">
      <w:pPr>
        <w:pStyle w:val="ListParagraph"/>
      </w:pPr>
      <w:proofErr w:type="spellStart"/>
      <w:r w:rsidRPr="0028193A">
        <w:t>Levoleucovorin</w:t>
      </w:r>
      <w:proofErr w:type="spellEnd"/>
      <w:r w:rsidRPr="0028193A">
        <w:t>/</w:t>
      </w:r>
      <w:proofErr w:type="spellStart"/>
      <w:r w:rsidRPr="0028193A">
        <w:t>Fusilev</w:t>
      </w:r>
      <w:proofErr w:type="spellEnd"/>
      <w:r w:rsidRPr="0028193A">
        <w:t>/</w:t>
      </w:r>
      <w:proofErr w:type="spellStart"/>
      <w:r w:rsidRPr="0028193A">
        <w:t>Khapzory</w:t>
      </w:r>
      <w:proofErr w:type="spellEnd"/>
      <w:r w:rsidRPr="0028193A">
        <w:t xml:space="preserve"> is indicated for rescue after high-dose methotrexate therapy in osteosarcoma.</w:t>
      </w:r>
    </w:p>
    <w:p w14:paraId="338B4291" w14:textId="77777777" w:rsidR="006D51DB" w:rsidRPr="0028193A" w:rsidRDefault="00A76149" w:rsidP="00A76149">
      <w:pPr>
        <w:pStyle w:val="ListParagraph"/>
      </w:pPr>
      <w:proofErr w:type="spellStart"/>
      <w:r w:rsidRPr="0028193A">
        <w:t>Levoleucovorin</w:t>
      </w:r>
      <w:proofErr w:type="spellEnd"/>
      <w:r w:rsidRPr="0028193A">
        <w:t>/</w:t>
      </w:r>
      <w:proofErr w:type="spellStart"/>
      <w:r w:rsidRPr="0028193A">
        <w:t>Fusilev</w:t>
      </w:r>
      <w:proofErr w:type="spellEnd"/>
      <w:r w:rsidRPr="0028193A">
        <w:t>/</w:t>
      </w:r>
      <w:proofErr w:type="spellStart"/>
      <w:r w:rsidRPr="0028193A">
        <w:t>Khapzory</w:t>
      </w:r>
      <w:proofErr w:type="spellEnd"/>
      <w:r w:rsidRPr="0028193A">
        <w:t xml:space="preserve"> is indicated for diminishing the toxicity associated with overdosage of folic acid antagonists or impaired methotrexate elimination.</w:t>
      </w:r>
    </w:p>
    <w:p w14:paraId="41833DD4" w14:textId="55CCF978" w:rsidR="00A76149" w:rsidRPr="0028193A" w:rsidRDefault="00A76149" w:rsidP="001D7656">
      <w:pPr>
        <w:pStyle w:val="ListParagraph"/>
        <w:spacing w:after="0"/>
      </w:pPr>
      <w:proofErr w:type="spellStart"/>
      <w:r w:rsidRPr="0028193A">
        <w:t>Levoleucovorin</w:t>
      </w:r>
      <w:proofErr w:type="spellEnd"/>
      <w:r w:rsidRPr="0028193A">
        <w:t>/</w:t>
      </w:r>
      <w:proofErr w:type="spellStart"/>
      <w:r w:rsidRPr="0028193A">
        <w:t>Fusilev</w:t>
      </w:r>
      <w:proofErr w:type="spellEnd"/>
      <w:r w:rsidRPr="0028193A">
        <w:t>/</w:t>
      </w:r>
      <w:proofErr w:type="spellStart"/>
      <w:r w:rsidRPr="0028193A">
        <w:t>Khapzory</w:t>
      </w:r>
      <w:proofErr w:type="spellEnd"/>
      <w:r w:rsidRPr="0028193A">
        <w:t xml:space="preserve"> is indicated for the treatment of adults with metastatic colorectal cancer in combination with fluorouracil.</w:t>
      </w:r>
    </w:p>
    <w:p w14:paraId="4C11EDD2" w14:textId="7F31CCC2" w:rsidR="00ED052F" w:rsidRPr="0028193A" w:rsidRDefault="005A3F4B" w:rsidP="005A3F4B">
      <w:pPr>
        <w:pStyle w:val="Heading3"/>
      </w:pPr>
      <w:r w:rsidRPr="0028193A">
        <w:t>Compendial Uses</w:t>
      </w:r>
    </w:p>
    <w:p w14:paraId="485ED68A" w14:textId="77777777" w:rsidR="00E46047" w:rsidRPr="0028193A" w:rsidRDefault="00E46047" w:rsidP="00192EA9">
      <w:pPr>
        <w:pStyle w:val="ListParagraph"/>
        <w:numPr>
          <w:ilvl w:val="0"/>
          <w:numId w:val="37"/>
        </w:numPr>
      </w:pPr>
      <w:r w:rsidRPr="0028193A">
        <w:t>Rescue treatment after high-dose methotrexate therapy</w:t>
      </w:r>
    </w:p>
    <w:p w14:paraId="7959552E" w14:textId="77777777" w:rsidR="00E46047" w:rsidRPr="0028193A" w:rsidRDefault="00E46047" w:rsidP="00192EA9">
      <w:pPr>
        <w:pStyle w:val="ListParagraph"/>
        <w:numPr>
          <w:ilvl w:val="0"/>
          <w:numId w:val="37"/>
        </w:numPr>
      </w:pPr>
      <w:r w:rsidRPr="0028193A">
        <w:t>Combination with fluorouracil-based chemotherapy regimens</w:t>
      </w:r>
    </w:p>
    <w:p w14:paraId="14770FF3" w14:textId="31621F28" w:rsidR="005A3F4B" w:rsidRPr="0028193A" w:rsidRDefault="00E46047" w:rsidP="001D7656">
      <w:pPr>
        <w:pStyle w:val="BodyText"/>
        <w:spacing w:after="0"/>
      </w:pPr>
      <w:r w:rsidRPr="0028193A">
        <w:t>All other indications are considered experimental/investigational and not medically necessary.</w:t>
      </w:r>
    </w:p>
    <w:p w14:paraId="50A38FBA" w14:textId="69355829" w:rsidR="00FE0C63" w:rsidRPr="0028193A" w:rsidRDefault="00685107" w:rsidP="00E050E1">
      <w:pPr>
        <w:pStyle w:val="Heading2"/>
      </w:pPr>
      <w:r w:rsidRPr="0028193A">
        <w:lastRenderedPageBreak/>
        <w:t>Coverage Criteria</w:t>
      </w:r>
    </w:p>
    <w:p w14:paraId="7A42B593" w14:textId="77777777" w:rsidR="00E46047" w:rsidRPr="0028193A" w:rsidRDefault="00E46047" w:rsidP="00E46047">
      <w:pPr>
        <w:pStyle w:val="BodyText"/>
      </w:pPr>
      <w:r w:rsidRPr="0028193A">
        <w:t>Authorization of 3 months may be granted for any of the settings listed below when leucovorin is not an appropriate/available option at this time:</w:t>
      </w:r>
    </w:p>
    <w:p w14:paraId="6C3CB559" w14:textId="77777777" w:rsidR="00E46047" w:rsidRPr="0028193A" w:rsidRDefault="00E46047" w:rsidP="00192EA9">
      <w:pPr>
        <w:pStyle w:val="ListParagraph"/>
        <w:numPr>
          <w:ilvl w:val="0"/>
          <w:numId w:val="38"/>
        </w:numPr>
      </w:pPr>
      <w:r w:rsidRPr="0028193A">
        <w:t>Rescue treatment after high-dose methotrexate therapy</w:t>
      </w:r>
    </w:p>
    <w:p w14:paraId="7005F55D" w14:textId="77777777" w:rsidR="00E46047" w:rsidRPr="0028193A" w:rsidRDefault="00E46047" w:rsidP="00192EA9">
      <w:pPr>
        <w:pStyle w:val="ListParagraph"/>
        <w:numPr>
          <w:ilvl w:val="0"/>
          <w:numId w:val="38"/>
        </w:numPr>
      </w:pPr>
      <w:r w:rsidRPr="0028193A">
        <w:t>Treatment of a folate antagonist overdose or impaired methotrexate elimination</w:t>
      </w:r>
    </w:p>
    <w:p w14:paraId="2FA2EF7D" w14:textId="77777777" w:rsidR="00E46047" w:rsidRPr="0028193A" w:rsidRDefault="00E46047" w:rsidP="00192EA9">
      <w:pPr>
        <w:pStyle w:val="ListParagraph"/>
        <w:numPr>
          <w:ilvl w:val="0"/>
          <w:numId w:val="38"/>
        </w:numPr>
      </w:pPr>
      <w:r w:rsidRPr="0028193A">
        <w:t>Combination therapy with fluorouracil-based chemotherapy regimens</w:t>
      </w:r>
    </w:p>
    <w:p w14:paraId="3A643EC3" w14:textId="4FF5100F" w:rsidR="00A501AC" w:rsidRPr="0028193A" w:rsidRDefault="00A501AC" w:rsidP="00A501AC">
      <w:pPr>
        <w:pStyle w:val="Heading2"/>
      </w:pPr>
      <w:r w:rsidRPr="0028193A">
        <w:t>Continuation of Therapy</w:t>
      </w:r>
    </w:p>
    <w:p w14:paraId="32C8905D" w14:textId="23C60D7F" w:rsidR="00A501AC" w:rsidRPr="0028193A" w:rsidRDefault="00E46047" w:rsidP="005147C0">
      <w:pPr>
        <w:pStyle w:val="BodyText"/>
        <w:spacing w:after="0"/>
      </w:pPr>
      <w:r w:rsidRPr="0028193A">
        <w:t>All members (including new members) requesting authorization for continuation of therapy must meet all requirements in the coverage criteria.</w:t>
      </w:r>
    </w:p>
    <w:p w14:paraId="10DA4309" w14:textId="2E783305" w:rsidR="00FF66BF" w:rsidRPr="0028193A" w:rsidRDefault="00FF66BF" w:rsidP="00FF66BF">
      <w:pPr>
        <w:pStyle w:val="Heading2"/>
      </w:pPr>
      <w:bookmarkStart w:id="0" w:name="S2.2"/>
      <w:bookmarkStart w:id="1" w:name="section-2.2"/>
      <w:bookmarkStart w:id="2" w:name="section-2.2.1"/>
      <w:bookmarkStart w:id="3" w:name="section-2.2.2"/>
      <w:bookmarkEnd w:id="0"/>
      <w:bookmarkEnd w:id="1"/>
      <w:bookmarkEnd w:id="2"/>
      <w:bookmarkEnd w:id="3"/>
      <w:r w:rsidRPr="0028193A">
        <w:t>References</w:t>
      </w:r>
    </w:p>
    <w:p w14:paraId="1B2EEB57" w14:textId="77777777" w:rsidR="00E46047" w:rsidRPr="00192EA9" w:rsidRDefault="00E46047" w:rsidP="00192EA9">
      <w:pPr>
        <w:pStyle w:val="ReferenceOrdered"/>
      </w:pPr>
      <w:r w:rsidRPr="00192EA9">
        <w:t xml:space="preserve">Fusilev [package insert]. East Windsor, NJ: </w:t>
      </w:r>
      <w:proofErr w:type="spellStart"/>
      <w:r w:rsidRPr="00192EA9">
        <w:t>Acrotech</w:t>
      </w:r>
      <w:proofErr w:type="spellEnd"/>
      <w:r w:rsidRPr="00192EA9">
        <w:t xml:space="preserve"> Biopharma LLC.; November 2020.</w:t>
      </w:r>
    </w:p>
    <w:p w14:paraId="1D158282" w14:textId="77777777" w:rsidR="006D51DB" w:rsidRPr="00192EA9" w:rsidRDefault="00E46047" w:rsidP="00192EA9">
      <w:pPr>
        <w:pStyle w:val="ReferenceOrdered"/>
      </w:pPr>
      <w:r w:rsidRPr="00192EA9">
        <w:t xml:space="preserve">Levoleucovorin injection [package insert]. Bridgewater, NJ: </w:t>
      </w:r>
      <w:proofErr w:type="spellStart"/>
      <w:r w:rsidRPr="00192EA9">
        <w:t>Amneal</w:t>
      </w:r>
      <w:proofErr w:type="spellEnd"/>
      <w:r w:rsidRPr="00192EA9">
        <w:t xml:space="preserve"> Pharmaceuticals LLC; April 2023.</w:t>
      </w:r>
    </w:p>
    <w:p w14:paraId="159C4581" w14:textId="00858394" w:rsidR="00E46047" w:rsidRPr="00192EA9" w:rsidRDefault="00E46047" w:rsidP="00192EA9">
      <w:pPr>
        <w:pStyle w:val="ReferenceOrdered"/>
      </w:pPr>
      <w:proofErr w:type="spellStart"/>
      <w:r w:rsidRPr="00192EA9">
        <w:t>Khapzory</w:t>
      </w:r>
      <w:proofErr w:type="spellEnd"/>
      <w:r w:rsidRPr="00192EA9">
        <w:t xml:space="preserve"> [package insert]. East Windsor, NJ: </w:t>
      </w:r>
      <w:proofErr w:type="spellStart"/>
      <w:r w:rsidRPr="00192EA9">
        <w:t>Acrotech</w:t>
      </w:r>
      <w:proofErr w:type="spellEnd"/>
      <w:r w:rsidRPr="00192EA9">
        <w:t xml:space="preserve"> Biopharma LLC; March 2024.</w:t>
      </w:r>
    </w:p>
    <w:p w14:paraId="47E1A10C" w14:textId="1FEB3AF6" w:rsidR="00C44990" w:rsidRPr="002764C7" w:rsidRDefault="00E46047" w:rsidP="00F017AF">
      <w:pPr>
        <w:pStyle w:val="ReferenceOrdered"/>
      </w:pPr>
      <w:r w:rsidRPr="00192EA9">
        <w:t>The NCCN Drugs &amp; Biologics Compendium® © 2024 National Comprehensive Cancer Network, Inc. Available at: https://www.nccn.org . Accessed July 2, 2024.</w:t>
      </w:r>
    </w:p>
    <w:sectPr w:rsidR="00C44990" w:rsidRPr="002764C7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7A07B" w14:textId="77777777" w:rsidR="00DE2F47" w:rsidRDefault="00DE2F47">
      <w:r>
        <w:separator/>
      </w:r>
    </w:p>
  </w:endnote>
  <w:endnote w:type="continuationSeparator" w:id="0">
    <w:p w14:paraId="19A99F0B" w14:textId="77777777" w:rsidR="00DE2F47" w:rsidRDefault="00DE2F47">
      <w:r>
        <w:continuationSeparator/>
      </w:r>
    </w:p>
  </w:endnote>
  <w:endnote w:type="continuationNotice" w:id="1">
    <w:p w14:paraId="11B1C46B" w14:textId="77777777" w:rsidR="00DE2F47" w:rsidRDefault="00DE2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F43746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A622F" w:rsidRPr="00657799">
      <w:rPr>
        <w:rFonts w:cs="Arial"/>
        <w:noProof/>
        <w:sz w:val="16"/>
        <w:szCs w:val="16"/>
      </w:rPr>
      <w:t>levoleucovorin-Fusilev-Khapzory</w:t>
    </w:r>
    <w:r w:rsidR="00FA622F">
      <w:rPr>
        <w:rFonts w:cs="Arial"/>
        <w:noProof/>
        <w:snapToGrid w:val="0"/>
        <w:color w:val="000000"/>
        <w:sz w:val="16"/>
        <w:szCs w:val="16"/>
      </w:rPr>
      <w:t xml:space="preserve"> SGM 1661-A</w:t>
    </w:r>
    <w:r w:rsidR="00FA622F" w:rsidRPr="00657799">
      <w:rPr>
        <w:rFonts w:cs="Arial"/>
        <w:noProof/>
        <w:sz w:val="16"/>
        <w:szCs w:val="16"/>
      </w:rPr>
      <w:t xml:space="preserve"> </w:t>
    </w:r>
    <w:r w:rsidR="003513DB">
      <w:rPr>
        <w:rFonts w:cs="Arial"/>
        <w:noProof/>
        <w:sz w:val="16"/>
        <w:szCs w:val="16"/>
      </w:rPr>
      <w:t>P</w:t>
    </w:r>
    <w:r w:rsidR="00FA622F" w:rsidRPr="00657799">
      <w:rPr>
        <w:rFonts w:cs="Arial"/>
        <w:noProof/>
        <w:sz w:val="16"/>
        <w:szCs w:val="16"/>
      </w:rPr>
      <w:t>2024</w:t>
    </w:r>
    <w:r w:rsidR="00FA622F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544EC60F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22AE41B" w:rsidR="00F75C81" w:rsidRPr="00AA1E6A" w:rsidRDefault="00C36B72" w:rsidP="0065779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9BE9E0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A622F" w:rsidRPr="00657799">
      <w:rPr>
        <w:rFonts w:cs="Arial"/>
        <w:noProof/>
        <w:sz w:val="16"/>
        <w:szCs w:val="16"/>
      </w:rPr>
      <w:t>levoleucovorin-Fusilev-Khapzory</w:t>
    </w:r>
    <w:r w:rsidR="00FA622F">
      <w:rPr>
        <w:rFonts w:cs="Arial"/>
        <w:noProof/>
        <w:snapToGrid w:val="0"/>
        <w:color w:val="000000"/>
        <w:sz w:val="16"/>
        <w:szCs w:val="16"/>
      </w:rPr>
      <w:t xml:space="preserve"> SGM 1661-A</w:t>
    </w:r>
    <w:r w:rsidR="00FA622F" w:rsidRPr="00657799">
      <w:rPr>
        <w:rFonts w:cs="Arial"/>
        <w:noProof/>
        <w:sz w:val="16"/>
        <w:szCs w:val="16"/>
      </w:rPr>
      <w:t xml:space="preserve"> </w:t>
    </w:r>
    <w:r w:rsidR="00F979B1">
      <w:rPr>
        <w:rFonts w:cs="Arial"/>
        <w:noProof/>
        <w:sz w:val="16"/>
        <w:szCs w:val="16"/>
      </w:rPr>
      <w:t>P</w:t>
    </w:r>
    <w:r w:rsidR="00FA622F" w:rsidRPr="00657799">
      <w:rPr>
        <w:rFonts w:cs="Arial"/>
        <w:noProof/>
        <w:sz w:val="16"/>
        <w:szCs w:val="16"/>
      </w:rPr>
      <w:t>2024</w:t>
    </w:r>
    <w:r w:rsidR="00FA622F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D111BD1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F3E1B5" w:rsidR="00ED04EC" w:rsidRPr="00F50D98" w:rsidRDefault="00F50D98" w:rsidP="0065779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83582" w14:textId="77777777" w:rsidR="00DE2F47" w:rsidRDefault="00DE2F47">
      <w:r>
        <w:separator/>
      </w:r>
    </w:p>
  </w:footnote>
  <w:footnote w:type="continuationSeparator" w:id="0">
    <w:p w14:paraId="5EE282D0" w14:textId="77777777" w:rsidR="00DE2F47" w:rsidRDefault="00DE2F47">
      <w:r>
        <w:continuationSeparator/>
      </w:r>
    </w:p>
  </w:footnote>
  <w:footnote w:type="continuationNotice" w:id="1">
    <w:p w14:paraId="3E339B5A" w14:textId="77777777" w:rsidR="00DE2F47" w:rsidRDefault="00DE2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D4768A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122E5F7E" w:rsidR="00ED04EC" w:rsidRPr="004C7F1D" w:rsidRDefault="00C56BFF" w:rsidP="00D4768A">
          <w:pPr>
            <w:pStyle w:val="RefTableHeader"/>
          </w:pPr>
          <w:r>
            <w:t>1661</w:t>
          </w:r>
          <w:r w:rsidR="00D4768A" w:rsidRPr="00D4768A"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095FC2"/>
    <w:multiLevelType w:val="hybridMultilevel"/>
    <w:tmpl w:val="3CEEE44C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2EA4641"/>
    <w:multiLevelType w:val="hybridMultilevel"/>
    <w:tmpl w:val="E97E3E5E"/>
    <w:lvl w:ilvl="0" w:tplc="3202DD1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BCA3A89"/>
    <w:multiLevelType w:val="multilevel"/>
    <w:tmpl w:val="3346570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864261"/>
    <w:multiLevelType w:val="multilevel"/>
    <w:tmpl w:val="A9CEDB5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E164B0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280636"/>
    <w:multiLevelType w:val="hybridMultilevel"/>
    <w:tmpl w:val="3D7C1046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77A2387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927D26"/>
    <w:multiLevelType w:val="hybridMultilevel"/>
    <w:tmpl w:val="D2327A00"/>
    <w:lvl w:ilvl="0" w:tplc="3202DD1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467206"/>
    <w:multiLevelType w:val="hybridMultilevel"/>
    <w:tmpl w:val="65304864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F2FAF2CC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 w:tplc="04090019">
      <w:start w:val="1"/>
      <w:numFmt w:val="lowerLetter"/>
      <w:lvlText w:val="%6."/>
      <w:lvlJc w:val="left"/>
      <w:pPr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3E38AE"/>
    <w:multiLevelType w:val="hybridMultilevel"/>
    <w:tmpl w:val="32AC66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4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4"/>
  </w:num>
  <w:num w:numId="17" w16cid:durableId="2128498676">
    <w:abstractNumId w:val="36"/>
  </w:num>
  <w:num w:numId="18" w16cid:durableId="299724409">
    <w:abstractNumId w:val="30"/>
  </w:num>
  <w:num w:numId="19" w16cid:durableId="214585573">
    <w:abstractNumId w:val="16"/>
  </w:num>
  <w:num w:numId="20" w16cid:durableId="1289816170">
    <w:abstractNumId w:val="19"/>
  </w:num>
  <w:num w:numId="21" w16cid:durableId="1066490929">
    <w:abstractNumId w:val="37"/>
  </w:num>
  <w:num w:numId="22" w16cid:durableId="1472481103">
    <w:abstractNumId w:val="32"/>
  </w:num>
  <w:num w:numId="23" w16cid:durableId="1997420403">
    <w:abstractNumId w:val="35"/>
  </w:num>
  <w:num w:numId="24" w16cid:durableId="33312838">
    <w:abstractNumId w:val="31"/>
  </w:num>
  <w:num w:numId="25" w16cid:durableId="507404939">
    <w:abstractNumId w:val="23"/>
  </w:num>
  <w:num w:numId="26" w16cid:durableId="1950313333">
    <w:abstractNumId w:val="27"/>
  </w:num>
  <w:num w:numId="27" w16cid:durableId="1866016584">
    <w:abstractNumId w:val="26"/>
  </w:num>
  <w:num w:numId="28" w16cid:durableId="1005596460">
    <w:abstractNumId w:val="29"/>
  </w:num>
  <w:num w:numId="29" w16cid:durableId="1615167088">
    <w:abstractNumId w:val="25"/>
  </w:num>
  <w:num w:numId="30" w16cid:durableId="1646465950">
    <w:abstractNumId w:val="12"/>
  </w:num>
  <w:num w:numId="31" w16cid:durableId="1667978235">
    <w:abstractNumId w:val="17"/>
  </w:num>
  <w:num w:numId="32" w16cid:durableId="3023190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68987157">
    <w:abstractNumId w:val="18"/>
  </w:num>
  <w:num w:numId="34" w16cid:durableId="1746411659">
    <w:abstractNumId w:val="10"/>
  </w:num>
  <w:num w:numId="35" w16cid:durableId="430244786">
    <w:abstractNumId w:val="21"/>
  </w:num>
  <w:num w:numId="36" w16cid:durableId="280041315">
    <w:abstractNumId w:val="15"/>
  </w:num>
  <w:num w:numId="37" w16cid:durableId="569118736">
    <w:abstractNumId w:val="22"/>
  </w:num>
  <w:num w:numId="38" w16cid:durableId="287711813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3D89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0D24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18B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2EA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D7656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65B5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4C7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93A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13DB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B1D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17981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CC8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823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7763"/>
    <w:rsid w:val="00511426"/>
    <w:rsid w:val="00511573"/>
    <w:rsid w:val="00512353"/>
    <w:rsid w:val="00512508"/>
    <w:rsid w:val="0051361C"/>
    <w:rsid w:val="00513C29"/>
    <w:rsid w:val="00513FB7"/>
    <w:rsid w:val="005147C0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5A1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3F4B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1FDF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299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799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76A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4F4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1DB"/>
    <w:rsid w:val="006D5240"/>
    <w:rsid w:val="006D618E"/>
    <w:rsid w:val="006D6225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5F69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063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6AD5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1833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86CC6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149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2B7F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6A1C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2A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56BFF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C0D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9B2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3EC1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3F18"/>
    <w:rsid w:val="00D44336"/>
    <w:rsid w:val="00D44BA5"/>
    <w:rsid w:val="00D44E7F"/>
    <w:rsid w:val="00D45515"/>
    <w:rsid w:val="00D45602"/>
    <w:rsid w:val="00D456BD"/>
    <w:rsid w:val="00D4581E"/>
    <w:rsid w:val="00D47412"/>
    <w:rsid w:val="00D4768A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1736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2F47"/>
    <w:rsid w:val="00DE3856"/>
    <w:rsid w:val="00DE415E"/>
    <w:rsid w:val="00DE5343"/>
    <w:rsid w:val="00DE5BEF"/>
    <w:rsid w:val="00DE66CD"/>
    <w:rsid w:val="00DE6958"/>
    <w:rsid w:val="00DE755D"/>
    <w:rsid w:val="00DF1081"/>
    <w:rsid w:val="00DF14FB"/>
    <w:rsid w:val="00DF2D1A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047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AFB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1B7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9B1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22F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59666d2b-6805-40f4-84c3-41e8a53a80d4"/>
    <ds:schemaRef ds:uri="f12d986e-a3b2-47c4-a5f7-26efe88ca3fd"/>
  </ds:schemaRefs>
</ds:datastoreItem>
</file>

<file path=customXml/itemProps2.xml><?xml version="1.0" encoding="utf-8"?>
<ds:datastoreItem xmlns:ds="http://schemas.openxmlformats.org/officeDocument/2006/customXml" ds:itemID="{845C7221-4B81-4660-9E06-82E98C0F98C2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levoleucovorin-Fusilev-Khapzory SGM 1661-A 2024</vt:lpstr>
    </vt:vector>
  </TitlesOfParts>
  <Company>PCS Health Systems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levoleucovorin-Fusilev-Khapzory SGM 1661-A 2024</dc:title>
  <dc:subject/>
  <dc:creator>CVS Caremark</dc:creator>
  <cp:keywords/>
  <cp:lastModifiedBy>Preston, Krystal M</cp:lastModifiedBy>
  <cp:revision>4</cp:revision>
  <cp:lastPrinted>2018-01-09T11:01:00Z</cp:lastPrinted>
  <dcterms:created xsi:type="dcterms:W3CDTF">2024-10-28T21:18:00Z</dcterms:created>
  <dcterms:modified xsi:type="dcterms:W3CDTF">2024-11-25T15:47:00Z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1764700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